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43" w:rsidRPr="00815C2B" w:rsidRDefault="00387D43">
      <w:pPr>
        <w:pStyle w:val="Heading2"/>
        <w:rPr>
          <w:rFonts w:ascii="Arial" w:hAnsi="Arial"/>
          <w:color w:val="auto"/>
        </w:rPr>
      </w:pPr>
      <w:r w:rsidRPr="00815C2B">
        <w:rPr>
          <w:rFonts w:ascii="Arial" w:hAnsi="Arial"/>
          <w:color w:val="auto"/>
        </w:rPr>
        <w:t>Annual business plan template</w:t>
      </w:r>
    </w:p>
    <w:p w:rsidR="00387D43" w:rsidRPr="00815C2B" w:rsidRDefault="00387D43">
      <w:pPr>
        <w:pStyle w:val="Heading3"/>
        <w:rPr>
          <w:rFonts w:ascii="Arial" w:hAnsi="Arial"/>
          <w:color w:val="auto"/>
        </w:rPr>
      </w:pPr>
      <w:r w:rsidRPr="00815C2B">
        <w:rPr>
          <w:rFonts w:ascii="Arial" w:hAnsi="Arial"/>
          <w:color w:val="auto"/>
        </w:rPr>
        <w:t xml:space="preserve">Business plan </w:t>
      </w:r>
    </w:p>
    <w:p w:rsidR="00387D43" w:rsidRDefault="00387D43">
      <w:pPr>
        <w:pStyle w:val="Heading4"/>
        <w:numPr>
          <w:ilvl w:val="0"/>
          <w:numId w:val="1"/>
        </w:num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ORGANISATION Plan Summary </w:t>
      </w:r>
    </w:p>
    <w:p w:rsidR="00387D43" w:rsidRDefault="00387D43">
      <w:pPr>
        <w:pStyle w:val="Heading5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This section links the annual plan to the organisation strategic plan. It summari</w:t>
      </w:r>
      <w:r w:rsidR="00A77A17">
        <w:rPr>
          <w:rFonts w:ascii="Arial" w:hAnsi="Arial"/>
          <w:b w:val="0"/>
          <w:i w:val="0"/>
        </w:rPr>
        <w:t>s</w:t>
      </w:r>
      <w:r>
        <w:rPr>
          <w:rFonts w:ascii="Arial" w:hAnsi="Arial"/>
          <w:b w:val="0"/>
          <w:i w:val="0"/>
        </w:rPr>
        <w:t>es business unit or business area plans.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  <w:gridCol w:w="3408"/>
        <w:gridCol w:w="3408"/>
        <w:gridCol w:w="3550"/>
      </w:tblGrid>
      <w:tr w:rsidR="00815C2B" w:rsidRPr="00815C2B" w:rsidTr="00815C2B">
        <w:trPr>
          <w:trHeight w:val="396"/>
        </w:trPr>
        <w:tc>
          <w:tcPr>
            <w:tcW w:w="3834" w:type="dxa"/>
            <w:shd w:val="solid" w:color="FFFF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Pr="00815C2B" w:rsidRDefault="00387D43">
            <w:pPr>
              <w:pStyle w:val="TableHeading2"/>
              <w:rPr>
                <w:rFonts w:ascii="Arial" w:hAnsi="Arial"/>
                <w:color w:val="auto"/>
              </w:rPr>
            </w:pPr>
            <w:r w:rsidRPr="00815C2B">
              <w:rPr>
                <w:rFonts w:ascii="Arial" w:hAnsi="Arial"/>
                <w:color w:val="auto"/>
              </w:rPr>
              <w:t>Strategic Outcomes (1)</w:t>
            </w:r>
          </w:p>
        </w:tc>
        <w:tc>
          <w:tcPr>
            <w:tcW w:w="3408" w:type="dxa"/>
            <w:shd w:val="solid" w:color="FFFF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Pr="00815C2B" w:rsidRDefault="00387D43">
            <w:pPr>
              <w:pStyle w:val="TableHeading2"/>
              <w:rPr>
                <w:rFonts w:ascii="Arial" w:hAnsi="Arial"/>
                <w:color w:val="auto"/>
              </w:rPr>
            </w:pPr>
            <w:r w:rsidRPr="00815C2B">
              <w:rPr>
                <w:rFonts w:ascii="Arial" w:hAnsi="Arial"/>
                <w:color w:val="auto"/>
              </w:rPr>
              <w:t xml:space="preserve">Strategic Key Performance Indicators </w:t>
            </w:r>
            <w:r w:rsidRPr="00815C2B">
              <w:rPr>
                <w:rFonts w:ascii="Arial" w:hAnsi="Arial"/>
                <w:color w:val="auto"/>
              </w:rPr>
              <w:br/>
              <w:t xml:space="preserve">(KPIs) (2) </w:t>
            </w:r>
          </w:p>
        </w:tc>
        <w:tc>
          <w:tcPr>
            <w:tcW w:w="3408" w:type="dxa"/>
            <w:shd w:val="solid" w:color="FFFF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Pr="00815C2B" w:rsidRDefault="00387D43">
            <w:pPr>
              <w:pStyle w:val="TableHeading2"/>
              <w:rPr>
                <w:rFonts w:ascii="Arial" w:hAnsi="Arial"/>
                <w:color w:val="auto"/>
              </w:rPr>
            </w:pPr>
            <w:r w:rsidRPr="00815C2B">
              <w:rPr>
                <w:rFonts w:ascii="Arial" w:hAnsi="Arial"/>
                <w:color w:val="auto"/>
              </w:rPr>
              <w:t xml:space="preserve">Annual Key </w:t>
            </w:r>
            <w:r w:rsidR="00815C2B" w:rsidRPr="00815C2B">
              <w:rPr>
                <w:rFonts w:ascii="Arial" w:hAnsi="Arial"/>
                <w:color w:val="auto"/>
              </w:rPr>
              <w:t>Performance</w:t>
            </w:r>
            <w:r w:rsidRPr="00815C2B">
              <w:rPr>
                <w:rFonts w:ascii="Arial" w:hAnsi="Arial"/>
                <w:color w:val="auto"/>
              </w:rPr>
              <w:t xml:space="preserve"> Indicators (KPIs) (3)</w:t>
            </w:r>
          </w:p>
        </w:tc>
        <w:tc>
          <w:tcPr>
            <w:tcW w:w="3550" w:type="dxa"/>
            <w:shd w:val="solid" w:color="FFFF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Pr="00815C2B" w:rsidRDefault="00387D43">
            <w:pPr>
              <w:pStyle w:val="TableHeading2"/>
              <w:rPr>
                <w:rFonts w:ascii="Arial" w:hAnsi="Arial"/>
                <w:color w:val="auto"/>
              </w:rPr>
            </w:pPr>
            <w:r w:rsidRPr="00815C2B">
              <w:rPr>
                <w:rFonts w:ascii="Arial" w:hAnsi="Arial"/>
                <w:color w:val="auto"/>
              </w:rPr>
              <w:t xml:space="preserve">Key Strategic Initiatives </w:t>
            </w:r>
            <w:r w:rsidRPr="00815C2B">
              <w:rPr>
                <w:rFonts w:ascii="Arial" w:hAnsi="Arial"/>
                <w:color w:val="auto"/>
              </w:rPr>
              <w:br/>
              <w:t>for the year (4)</w:t>
            </w:r>
          </w:p>
        </w:tc>
      </w:tr>
      <w:tr w:rsidR="00387D43" w:rsidTr="00815C2B">
        <w:trPr>
          <w:trHeight w:val="1155"/>
        </w:trPr>
        <w:tc>
          <w:tcPr>
            <w:tcW w:w="38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  <w:p w:rsidR="00387D43" w:rsidRDefault="00387D43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15C2B">
        <w:trPr>
          <w:trHeight w:val="1133"/>
        </w:trPr>
        <w:tc>
          <w:tcPr>
            <w:tcW w:w="38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  <w:p w:rsidR="00387D43" w:rsidRDefault="00387D43">
            <w:pPr>
              <w:tabs>
                <w:tab w:val="left" w:pos="1920"/>
              </w:tabs>
              <w:rPr>
                <w:rFonts w:ascii="Arial" w:hAnsi="Arial"/>
                <w:lang w:val="en-GB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15C2B">
        <w:trPr>
          <w:trHeight w:val="1139"/>
        </w:trPr>
        <w:tc>
          <w:tcPr>
            <w:tcW w:w="38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  <w:p w:rsidR="00387D43" w:rsidRDefault="00387D43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15C2B">
        <w:trPr>
          <w:trHeight w:val="1131"/>
        </w:trPr>
        <w:tc>
          <w:tcPr>
            <w:tcW w:w="38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15C2B">
        <w:trPr>
          <w:trHeight w:val="1123"/>
        </w:trPr>
        <w:tc>
          <w:tcPr>
            <w:tcW w:w="38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4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</w:tbl>
    <w:p w:rsidR="00387D43" w:rsidRDefault="00387D43">
      <w:pPr>
        <w:pStyle w:val="BodyText"/>
        <w:rPr>
          <w:rFonts w:ascii="Arial" w:hAnsi="Arial"/>
        </w:rPr>
      </w:pPr>
    </w:p>
    <w:p w:rsidR="00387D43" w:rsidRDefault="00387D43">
      <w:pPr>
        <w:pStyle w:val="TableNotes"/>
        <w:rPr>
          <w:rFonts w:ascii="Arial" w:hAnsi="Arial"/>
        </w:rPr>
      </w:pPr>
      <w:r>
        <w:rPr>
          <w:rFonts w:ascii="Arial" w:hAnsi="Arial"/>
        </w:rPr>
        <w:t>(1)</w:t>
      </w:r>
      <w:r>
        <w:rPr>
          <w:rFonts w:ascii="Arial" w:hAnsi="Arial"/>
        </w:rPr>
        <w:tab/>
        <w:t>List the Strategic Outcomes from strategic plan</w:t>
      </w:r>
      <w:r>
        <w:rPr>
          <w:rFonts w:ascii="Arial" w:hAnsi="Arial"/>
        </w:rPr>
        <w:br/>
        <w:t>(2)</w:t>
      </w:r>
      <w:r>
        <w:rPr>
          <w:rFonts w:ascii="Arial" w:hAnsi="Arial"/>
        </w:rPr>
        <w:tab/>
        <w:t xml:space="preserve">For each outcome list the strategic KPIs from the strategic plan </w:t>
      </w:r>
      <w:r>
        <w:rPr>
          <w:rFonts w:ascii="Arial" w:hAnsi="Arial"/>
        </w:rPr>
        <w:br/>
        <w:t>(3)</w:t>
      </w:r>
      <w:r>
        <w:rPr>
          <w:rFonts w:ascii="Arial" w:hAnsi="Arial"/>
        </w:rPr>
        <w:tab/>
        <w:t>For each outcome list the KPIs to be achieved in the business plan period (Measure annual progress towards(2))</w:t>
      </w:r>
      <w:r>
        <w:rPr>
          <w:rFonts w:ascii="Arial" w:hAnsi="Arial"/>
        </w:rPr>
        <w:br/>
        <w:t>(4)</w:t>
      </w:r>
      <w:r>
        <w:rPr>
          <w:rFonts w:ascii="Arial" w:hAnsi="Arial"/>
        </w:rPr>
        <w:tab/>
        <w:t>For each outcome list Key Strategic Initiatives to be undertaken in the business plan period</w:t>
      </w:r>
    </w:p>
    <w:p w:rsidR="00387D43" w:rsidRDefault="00387D43">
      <w:pPr>
        <w:pStyle w:val="Heading3"/>
        <w:rPr>
          <w:rFonts w:ascii="Arial" w:hAnsi="Arial"/>
          <w:i/>
          <w:color w:val="000000"/>
          <w:sz w:val="19"/>
        </w:rPr>
      </w:pPr>
      <w:r>
        <w:rPr>
          <w:rFonts w:ascii="Arial" w:hAnsi="Arial"/>
        </w:rPr>
        <w:br w:type="page"/>
      </w:r>
      <w:r>
        <w:rPr>
          <w:rFonts w:ascii="Arial" w:hAnsi="Arial"/>
          <w:i/>
          <w:color w:val="000000"/>
          <w:sz w:val="19"/>
        </w:rPr>
        <w:lastRenderedPageBreak/>
        <w:t>2.</w:t>
      </w:r>
      <w:r>
        <w:rPr>
          <w:rFonts w:ascii="Arial" w:hAnsi="Arial"/>
          <w:i/>
          <w:color w:val="000000"/>
          <w:sz w:val="19"/>
        </w:rPr>
        <w:tab/>
        <w:t>BUSINESS UNIT PLAN</w:t>
      </w:r>
    </w:p>
    <w:p w:rsidR="00387D43" w:rsidRDefault="00387D43">
      <w:pPr>
        <w:pStyle w:val="Heading5"/>
        <w:rPr>
          <w:rFonts w:ascii="Arial" w:hAnsi="Arial"/>
          <w:b w:val="0"/>
          <w:i w:val="0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Strategic actions</w:t>
      </w:r>
      <w:r>
        <w:rPr>
          <w:rFonts w:ascii="Arial" w:hAnsi="Arial"/>
        </w:rPr>
        <w:br/>
      </w:r>
      <w:proofErr w:type="gramStart"/>
      <w:r>
        <w:rPr>
          <w:rFonts w:ascii="Arial" w:hAnsi="Arial"/>
          <w:b w:val="0"/>
          <w:i w:val="0"/>
        </w:rPr>
        <w:t>This</w:t>
      </w:r>
      <w:proofErr w:type="gramEnd"/>
      <w:r>
        <w:rPr>
          <w:rFonts w:ascii="Arial" w:hAnsi="Arial"/>
          <w:b w:val="0"/>
          <w:i w:val="0"/>
        </w:rPr>
        <w:t xml:space="preserve"> section focuses on major new initiatives critical to enabling the organisation to achieve its objectives for the year.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2162"/>
        <w:gridCol w:w="1460"/>
        <w:gridCol w:w="3550"/>
        <w:gridCol w:w="852"/>
        <w:gridCol w:w="1704"/>
        <w:gridCol w:w="1846"/>
      </w:tblGrid>
      <w:tr w:rsidR="00387D43" w:rsidTr="0088513C">
        <w:trPr>
          <w:trHeight w:val="293"/>
        </w:trPr>
        <w:tc>
          <w:tcPr>
            <w:tcW w:w="2626" w:type="dxa"/>
            <w:shd w:val="solid" w:color="FF0000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Outcome (1)</w:t>
            </w:r>
          </w:p>
        </w:tc>
        <w:tc>
          <w:tcPr>
            <w:tcW w:w="2162" w:type="dxa"/>
            <w:shd w:val="solid" w:color="FF0000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KPIs (2)</w:t>
            </w:r>
          </w:p>
        </w:tc>
        <w:tc>
          <w:tcPr>
            <w:tcW w:w="1460" w:type="dxa"/>
            <w:shd w:val="solid" w:color="FF0000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Annual KPIs (3)</w:t>
            </w:r>
          </w:p>
        </w:tc>
        <w:tc>
          <w:tcPr>
            <w:tcW w:w="3550" w:type="dxa"/>
            <w:shd w:val="solid" w:color="FF0000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Initiatives for the year (4)</w:t>
            </w:r>
          </w:p>
        </w:tc>
        <w:tc>
          <w:tcPr>
            <w:tcW w:w="852" w:type="dxa"/>
            <w:shd w:val="solid" w:color="FF0000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Cost (5)</w:t>
            </w:r>
          </w:p>
        </w:tc>
        <w:tc>
          <w:tcPr>
            <w:tcW w:w="1704" w:type="dxa"/>
            <w:shd w:val="solid" w:color="FF0000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Responsibility (6) </w:t>
            </w:r>
          </w:p>
        </w:tc>
        <w:tc>
          <w:tcPr>
            <w:tcW w:w="1846" w:type="dxa"/>
            <w:shd w:val="solid" w:color="FF0000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Timeframe (7)</w:t>
            </w:r>
          </w:p>
        </w:tc>
      </w:tr>
      <w:tr w:rsidR="00387D43" w:rsidTr="0088513C">
        <w:trPr>
          <w:trHeight w:val="1303"/>
        </w:trPr>
        <w:tc>
          <w:tcPr>
            <w:tcW w:w="2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21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BodyText"/>
              <w:rPr>
                <w:rFonts w:ascii="Arial" w:hAnsi="Arial"/>
              </w:rPr>
            </w:pPr>
          </w:p>
          <w:p w:rsidR="00387D43" w:rsidRDefault="00387D43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14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85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303"/>
        </w:trPr>
        <w:tc>
          <w:tcPr>
            <w:tcW w:w="2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21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BodyText"/>
              <w:rPr>
                <w:rFonts w:ascii="Arial" w:hAnsi="Arial"/>
              </w:rPr>
            </w:pPr>
          </w:p>
          <w:p w:rsidR="00387D43" w:rsidRDefault="00387D43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14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85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303"/>
        </w:trPr>
        <w:tc>
          <w:tcPr>
            <w:tcW w:w="2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21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87D43" w:rsidRDefault="00387D43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14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85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303"/>
        </w:trPr>
        <w:tc>
          <w:tcPr>
            <w:tcW w:w="2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21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BodyText"/>
              <w:rPr>
                <w:rFonts w:ascii="Arial" w:hAnsi="Arial"/>
              </w:rPr>
            </w:pPr>
          </w:p>
          <w:p w:rsidR="00387D43" w:rsidRDefault="00387D43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14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85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303"/>
        </w:trPr>
        <w:tc>
          <w:tcPr>
            <w:tcW w:w="2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21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BodyText"/>
              <w:rPr>
                <w:rFonts w:ascii="Arial" w:hAnsi="Arial"/>
              </w:rPr>
            </w:pPr>
          </w:p>
          <w:p w:rsidR="00387D43" w:rsidRDefault="00387D43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14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3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85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</w:tbl>
    <w:p w:rsidR="00387D43" w:rsidRDefault="00387D43">
      <w:pPr>
        <w:pStyle w:val="Noparagraphstyle"/>
        <w:suppressAutoHyphens/>
        <w:rPr>
          <w:rFonts w:ascii="Arial" w:hAnsi="Arial"/>
        </w:rPr>
      </w:pPr>
    </w:p>
    <w:p w:rsidR="00387D43" w:rsidRDefault="00387D43">
      <w:pPr>
        <w:pStyle w:val="BodyText"/>
        <w:rPr>
          <w:rFonts w:ascii="Arial" w:hAnsi="Arial"/>
        </w:rPr>
      </w:pPr>
    </w:p>
    <w:p w:rsidR="00387D43" w:rsidRDefault="00387D43">
      <w:pPr>
        <w:pStyle w:val="TableNotes"/>
        <w:tabs>
          <w:tab w:val="left" w:pos="4340"/>
          <w:tab w:val="left" w:pos="4700"/>
        </w:tabs>
        <w:rPr>
          <w:rFonts w:ascii="Arial" w:hAnsi="Arial"/>
        </w:rPr>
      </w:pPr>
      <w:r>
        <w:rPr>
          <w:rFonts w:ascii="Arial" w:hAnsi="Arial"/>
        </w:rPr>
        <w:t>(1)</w:t>
      </w:r>
      <w:r>
        <w:rPr>
          <w:rFonts w:ascii="Arial" w:hAnsi="Arial"/>
        </w:rPr>
        <w:tab/>
        <w:t>List relevant strategic outcome from the strategic plan</w:t>
      </w:r>
      <w:r>
        <w:rPr>
          <w:rFonts w:ascii="Arial" w:hAnsi="Arial"/>
        </w:rPr>
        <w:tab/>
        <w:t>(5)</w:t>
      </w:r>
      <w:r>
        <w:rPr>
          <w:rFonts w:ascii="Arial" w:hAnsi="Arial"/>
        </w:rPr>
        <w:tab/>
        <w:t xml:space="preserve">Determine the budgeted </w:t>
      </w:r>
      <w:proofErr w:type="gramStart"/>
      <w:r>
        <w:rPr>
          <w:rFonts w:ascii="Arial" w:hAnsi="Arial"/>
        </w:rPr>
        <w:t>cost</w:t>
      </w:r>
      <w:proofErr w:type="gramEnd"/>
      <w:r>
        <w:rPr>
          <w:rFonts w:ascii="Arial" w:hAnsi="Arial"/>
        </w:rPr>
        <w:br/>
        <w:t>(2)</w:t>
      </w:r>
      <w:r>
        <w:rPr>
          <w:rFonts w:ascii="Arial" w:hAnsi="Arial"/>
        </w:rPr>
        <w:tab/>
        <w:t>List relevant strategic KPI(s) from the strategic plan</w:t>
      </w:r>
      <w:r>
        <w:rPr>
          <w:rFonts w:ascii="Arial" w:hAnsi="Arial"/>
        </w:rPr>
        <w:tab/>
        <w:t>(6)</w:t>
      </w:r>
      <w:r>
        <w:rPr>
          <w:rFonts w:ascii="Arial" w:hAnsi="Arial"/>
        </w:rPr>
        <w:tab/>
        <w:t>Identify who has responsibility</w:t>
      </w:r>
      <w:r>
        <w:rPr>
          <w:rFonts w:ascii="Arial" w:hAnsi="Arial"/>
        </w:rPr>
        <w:br/>
        <w:t>(3)</w:t>
      </w:r>
      <w:r>
        <w:rPr>
          <w:rFonts w:ascii="Arial" w:hAnsi="Arial"/>
        </w:rPr>
        <w:tab/>
        <w:t>Determine relevant KPI for the business plan period</w:t>
      </w:r>
      <w:r>
        <w:rPr>
          <w:rFonts w:ascii="Arial" w:hAnsi="Arial"/>
        </w:rPr>
        <w:tab/>
        <w:t>(7)</w:t>
      </w:r>
      <w:r>
        <w:rPr>
          <w:rFonts w:ascii="Arial" w:hAnsi="Arial"/>
        </w:rPr>
        <w:tab/>
        <w:t>Identify timelines (start/finish dates) and key milestones</w:t>
      </w:r>
      <w:r>
        <w:rPr>
          <w:rFonts w:ascii="Arial" w:hAnsi="Arial"/>
        </w:rPr>
        <w:br/>
        <w:t>(4)</w:t>
      </w:r>
      <w:r>
        <w:rPr>
          <w:rFonts w:ascii="Arial" w:hAnsi="Arial"/>
        </w:rPr>
        <w:tab/>
        <w:t>Determine major initiatives required to achieve KPIs</w:t>
      </w:r>
      <w:r>
        <w:rPr>
          <w:rFonts w:ascii="Arial" w:hAnsi="Arial"/>
        </w:rPr>
        <w:tab/>
      </w:r>
    </w:p>
    <w:p w:rsidR="00387D43" w:rsidRDefault="00387D43">
      <w:pPr>
        <w:pStyle w:val="TableNotes"/>
        <w:tabs>
          <w:tab w:val="left" w:pos="4340"/>
          <w:tab w:val="left" w:pos="4700"/>
        </w:tabs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sz w:val="19"/>
        </w:rPr>
        <w:lastRenderedPageBreak/>
        <w:t>2.2</w:t>
      </w:r>
      <w:r>
        <w:rPr>
          <w:rFonts w:ascii="Arial" w:hAnsi="Arial"/>
          <w:b/>
          <w:sz w:val="19"/>
        </w:rPr>
        <w:tab/>
        <w:t>‘Business as usual’ activities</w:t>
      </w:r>
      <w:r>
        <w:rPr>
          <w:rFonts w:ascii="Arial" w:hAnsi="Arial"/>
        </w:rPr>
        <w:br/>
      </w:r>
      <w:proofErr w:type="gramStart"/>
      <w:r>
        <w:rPr>
          <w:rFonts w:ascii="Arial" w:hAnsi="Arial"/>
        </w:rPr>
        <w:t>This</w:t>
      </w:r>
      <w:proofErr w:type="gramEnd"/>
      <w:r>
        <w:rPr>
          <w:rFonts w:ascii="Arial" w:hAnsi="Arial"/>
        </w:rPr>
        <w:t xml:space="preserve"> section focuses on business activities that occur on an ongoing basis and do not represent significant new strategic initiatives.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160"/>
        <w:gridCol w:w="4868"/>
        <w:gridCol w:w="994"/>
        <w:gridCol w:w="1846"/>
        <w:gridCol w:w="1704"/>
      </w:tblGrid>
      <w:tr w:rsidR="00387D43" w:rsidTr="0088513C">
        <w:trPr>
          <w:trHeight w:val="294"/>
        </w:trPr>
        <w:tc>
          <w:tcPr>
            <w:tcW w:w="2628" w:type="dxa"/>
            <w:shd w:val="solid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Key Results Area (1)</w:t>
            </w:r>
          </w:p>
        </w:tc>
        <w:tc>
          <w:tcPr>
            <w:tcW w:w="2160" w:type="dxa"/>
            <w:shd w:val="solid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Annual KPIs (2)</w:t>
            </w:r>
          </w:p>
        </w:tc>
        <w:tc>
          <w:tcPr>
            <w:tcW w:w="4868" w:type="dxa"/>
            <w:shd w:val="solid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Major Actions (3)</w:t>
            </w:r>
          </w:p>
        </w:tc>
        <w:tc>
          <w:tcPr>
            <w:tcW w:w="994" w:type="dxa"/>
            <w:shd w:val="solid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Cost (4)</w:t>
            </w:r>
          </w:p>
        </w:tc>
        <w:tc>
          <w:tcPr>
            <w:tcW w:w="1846" w:type="dxa"/>
            <w:shd w:val="solid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Responsibility (5)</w:t>
            </w:r>
          </w:p>
        </w:tc>
        <w:tc>
          <w:tcPr>
            <w:tcW w:w="1704" w:type="dxa"/>
            <w:shd w:val="solid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Timeframe (6)</w:t>
            </w:r>
          </w:p>
        </w:tc>
      </w:tr>
      <w:tr w:rsidR="00387D43" w:rsidTr="0088513C">
        <w:trPr>
          <w:trHeight w:val="1285"/>
        </w:trPr>
        <w:tc>
          <w:tcPr>
            <w:tcW w:w="26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48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  <w:bookmarkStart w:id="0" w:name="_GoBack"/>
            <w:bookmarkEnd w:id="0"/>
          </w:p>
        </w:tc>
        <w:tc>
          <w:tcPr>
            <w:tcW w:w="9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251"/>
        </w:trPr>
        <w:tc>
          <w:tcPr>
            <w:tcW w:w="26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48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9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231"/>
        </w:trPr>
        <w:tc>
          <w:tcPr>
            <w:tcW w:w="26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48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9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197"/>
        </w:trPr>
        <w:tc>
          <w:tcPr>
            <w:tcW w:w="26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48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9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  <w:tr w:rsidR="00387D43" w:rsidTr="0088513C">
        <w:trPr>
          <w:trHeight w:val="1149"/>
        </w:trPr>
        <w:tc>
          <w:tcPr>
            <w:tcW w:w="26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  <w:p w:rsidR="00387D43" w:rsidRDefault="00387D43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48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9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84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1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7D43" w:rsidRDefault="00387D43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</w:tr>
    </w:tbl>
    <w:p w:rsidR="00387D43" w:rsidRDefault="00387D43">
      <w:pPr>
        <w:pStyle w:val="BodyText"/>
        <w:rPr>
          <w:rFonts w:ascii="Arial" w:hAnsi="Arial"/>
        </w:rPr>
      </w:pPr>
    </w:p>
    <w:p w:rsidR="00387D43" w:rsidRDefault="00387D43">
      <w:pPr>
        <w:pStyle w:val="TableNotes"/>
        <w:rPr>
          <w:rFonts w:ascii="Arial" w:hAnsi="Arial"/>
        </w:rPr>
      </w:pPr>
      <w:r>
        <w:rPr>
          <w:rFonts w:ascii="Arial" w:hAnsi="Arial"/>
        </w:rPr>
        <w:t>(1)</w:t>
      </w:r>
      <w:r>
        <w:rPr>
          <w:rFonts w:ascii="Arial" w:hAnsi="Arial"/>
        </w:rPr>
        <w:tab/>
        <w:t>Identify Key Results Areas for the business unit</w:t>
      </w:r>
      <w:r>
        <w:rPr>
          <w:rFonts w:ascii="Arial" w:hAnsi="Arial"/>
        </w:rPr>
        <w:br/>
        <w:t xml:space="preserve">(2) </w:t>
      </w:r>
      <w:r>
        <w:rPr>
          <w:rFonts w:ascii="Arial" w:hAnsi="Arial"/>
        </w:rPr>
        <w:tab/>
        <w:t xml:space="preserve">Determine the </w:t>
      </w:r>
      <w:r w:rsidR="00A77A17">
        <w:rPr>
          <w:rFonts w:ascii="Arial" w:hAnsi="Arial"/>
        </w:rPr>
        <w:t>annual</w:t>
      </w:r>
      <w:r>
        <w:rPr>
          <w:rFonts w:ascii="Arial" w:hAnsi="Arial"/>
        </w:rPr>
        <w:t xml:space="preserve"> KPIs for each Key Result Area</w:t>
      </w:r>
      <w:r>
        <w:rPr>
          <w:rFonts w:ascii="Arial" w:hAnsi="Arial"/>
        </w:rPr>
        <w:br/>
        <w:t xml:space="preserve">(3) </w:t>
      </w:r>
      <w:r>
        <w:rPr>
          <w:rFonts w:ascii="Arial" w:hAnsi="Arial"/>
        </w:rPr>
        <w:tab/>
        <w:t>Outline the major actions required to achieve the KPIs</w:t>
      </w:r>
      <w:r>
        <w:rPr>
          <w:rFonts w:ascii="Arial" w:hAnsi="Arial"/>
        </w:rPr>
        <w:br/>
        <w:t xml:space="preserve">(4) </w:t>
      </w:r>
      <w:r>
        <w:rPr>
          <w:rFonts w:ascii="Arial" w:hAnsi="Arial"/>
        </w:rPr>
        <w:tab/>
        <w:t>Determine the budgeted cost</w:t>
      </w:r>
      <w:r>
        <w:rPr>
          <w:rFonts w:ascii="Arial" w:hAnsi="Arial"/>
        </w:rPr>
        <w:br/>
        <w:t xml:space="preserve">(5) </w:t>
      </w:r>
      <w:r>
        <w:rPr>
          <w:rFonts w:ascii="Arial" w:hAnsi="Arial"/>
        </w:rPr>
        <w:tab/>
        <w:t>Identify who has responsibility</w:t>
      </w:r>
      <w:r>
        <w:rPr>
          <w:rFonts w:ascii="Arial" w:hAnsi="Arial"/>
        </w:rPr>
        <w:br/>
        <w:t xml:space="preserve">(6) </w:t>
      </w:r>
      <w:r>
        <w:rPr>
          <w:rFonts w:ascii="Arial" w:hAnsi="Arial"/>
        </w:rPr>
        <w:tab/>
        <w:t>Identify timelines (start/finish dates) and key milestones</w:t>
      </w:r>
    </w:p>
    <w:sectPr w:rsidR="00387D43" w:rsidSect="0088513C">
      <w:pgSz w:w="16838" w:h="11899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ARC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Bold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A2E"/>
    <w:multiLevelType w:val="hybridMultilevel"/>
    <w:tmpl w:val="45983A72"/>
    <w:lvl w:ilvl="0" w:tplc="1DC68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BCD1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62AE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1834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F249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B6FF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8A1D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267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544E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17"/>
    <w:rsid w:val="00387D43"/>
    <w:rsid w:val="00520522"/>
    <w:rsid w:val="00730F14"/>
    <w:rsid w:val="00815C2B"/>
    <w:rsid w:val="0088513C"/>
    <w:rsid w:val="00916BFA"/>
    <w:rsid w:val="00A77A17"/>
    <w:rsid w:val="00D263B7"/>
    <w:rsid w:val="00E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BodyText"/>
    <w:qFormat/>
    <w:pPr>
      <w:widowControl w:val="0"/>
      <w:tabs>
        <w:tab w:val="left" w:pos="567"/>
        <w:tab w:val="left" w:pos="1134"/>
        <w:tab w:val="left" w:pos="1701"/>
      </w:tabs>
      <w:suppressAutoHyphens/>
      <w:autoSpaceDE w:val="0"/>
      <w:autoSpaceDN w:val="0"/>
      <w:adjustRightInd w:val="0"/>
      <w:spacing w:before="180" w:after="180" w:line="300" w:lineRule="atLeast"/>
      <w:textAlignment w:val="center"/>
      <w:outlineLvl w:val="1"/>
    </w:pPr>
    <w:rPr>
      <w:rFonts w:ascii="SPARCSans-Light" w:eastAsia="Times New Roman" w:hAnsi="SPARCSans-Light"/>
      <w:color w:val="5085BF"/>
      <w:sz w:val="28"/>
      <w:lang w:val="en-GB"/>
    </w:rPr>
  </w:style>
  <w:style w:type="paragraph" w:styleId="Heading3">
    <w:name w:val="heading 3"/>
    <w:basedOn w:val="BodyText"/>
    <w:qFormat/>
    <w:pPr>
      <w:widowControl w:val="0"/>
      <w:tabs>
        <w:tab w:val="left" w:pos="567"/>
        <w:tab w:val="left" w:pos="1134"/>
        <w:tab w:val="left" w:pos="1701"/>
      </w:tabs>
      <w:suppressAutoHyphens/>
      <w:autoSpaceDE w:val="0"/>
      <w:autoSpaceDN w:val="0"/>
      <w:adjustRightInd w:val="0"/>
      <w:spacing w:before="120" w:after="80" w:line="260" w:lineRule="atLeast"/>
      <w:textAlignment w:val="center"/>
      <w:outlineLvl w:val="2"/>
    </w:pPr>
    <w:rPr>
      <w:rFonts w:ascii="SPARCSans-Light" w:eastAsia="Times New Roman" w:hAnsi="SPARCSans-Light"/>
      <w:b/>
      <w:color w:val="EF8100"/>
      <w:sz w:val="22"/>
      <w:lang w:val="en-GB"/>
    </w:rPr>
  </w:style>
  <w:style w:type="paragraph" w:styleId="Heading4">
    <w:name w:val="heading 4"/>
    <w:basedOn w:val="Noparagraphstyle"/>
    <w:qFormat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</w:tabs>
      <w:suppressAutoHyphens/>
      <w:spacing w:before="60" w:after="20" w:line="200" w:lineRule="atLeast"/>
      <w:outlineLvl w:val="3"/>
    </w:pPr>
    <w:rPr>
      <w:rFonts w:ascii="SPARCSans-Roman" w:hAnsi="SPARCSans-Roman"/>
      <w:caps/>
      <w:sz w:val="17"/>
    </w:rPr>
  </w:style>
  <w:style w:type="paragraph" w:styleId="Heading5">
    <w:name w:val="heading 5"/>
    <w:basedOn w:val="Noparagraphstyle"/>
    <w:qFormat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</w:tabs>
      <w:suppressAutoHyphens/>
      <w:spacing w:before="60" w:line="220" w:lineRule="atLeast"/>
      <w:outlineLvl w:val="4"/>
    </w:pPr>
    <w:rPr>
      <w:rFonts w:ascii="SPARCSans-BoldItalic" w:hAnsi="SPARCSans-BoldItalic"/>
      <w:b/>
      <w:i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en-US"/>
    </w:rPr>
  </w:style>
  <w:style w:type="paragraph" w:customStyle="1" w:styleId="TableNotes">
    <w:name w:val="Table Notes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80" w:line="200" w:lineRule="atLeast"/>
      <w:textAlignment w:val="center"/>
    </w:pPr>
    <w:rPr>
      <w:rFonts w:ascii="SPARCSans-Light" w:eastAsia="Times New Roman" w:hAnsi="SPARCSans-Light"/>
      <w:i/>
      <w:color w:val="000000"/>
      <w:sz w:val="16"/>
      <w:lang w:val="en-GB"/>
    </w:rPr>
  </w:style>
  <w:style w:type="paragraph" w:customStyle="1" w:styleId="TableHeading2">
    <w:name w:val="Table Heading 2"/>
    <w:basedOn w:val="Noparagraphstyle"/>
    <w:pPr>
      <w:tabs>
        <w:tab w:val="left" w:pos="360"/>
      </w:tabs>
      <w:suppressAutoHyphens/>
      <w:spacing w:after="227" w:line="190" w:lineRule="atLeast"/>
    </w:pPr>
    <w:rPr>
      <w:rFonts w:ascii="SPARCSans-Roman" w:hAnsi="SPARCSans-Roman"/>
      <w:color w:val="FFFFFF"/>
      <w:sz w:val="16"/>
    </w:rPr>
  </w:style>
  <w:style w:type="paragraph" w:customStyle="1" w:styleId="TableBodyText">
    <w:name w:val="Table Body Text"/>
    <w:basedOn w:val="BodyText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42" w:line="190" w:lineRule="atLeast"/>
      <w:textAlignment w:val="center"/>
    </w:pPr>
    <w:rPr>
      <w:rFonts w:ascii="SPARCSans-Light" w:eastAsia="Times New Roman" w:hAnsi="SPARCSans-Light"/>
      <w:color w:val="000000"/>
      <w:sz w:val="16"/>
      <w:lang w:val="en-GB"/>
    </w:rPr>
  </w:style>
  <w:style w:type="paragraph" w:styleId="BalloonText">
    <w:name w:val="Balloon Text"/>
    <w:basedOn w:val="Normal"/>
    <w:link w:val="BalloonTextChar"/>
    <w:rsid w:val="0088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3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BodyText"/>
    <w:qFormat/>
    <w:pPr>
      <w:widowControl w:val="0"/>
      <w:tabs>
        <w:tab w:val="left" w:pos="567"/>
        <w:tab w:val="left" w:pos="1134"/>
        <w:tab w:val="left" w:pos="1701"/>
      </w:tabs>
      <w:suppressAutoHyphens/>
      <w:autoSpaceDE w:val="0"/>
      <w:autoSpaceDN w:val="0"/>
      <w:adjustRightInd w:val="0"/>
      <w:spacing w:before="180" w:after="180" w:line="300" w:lineRule="atLeast"/>
      <w:textAlignment w:val="center"/>
      <w:outlineLvl w:val="1"/>
    </w:pPr>
    <w:rPr>
      <w:rFonts w:ascii="SPARCSans-Light" w:eastAsia="Times New Roman" w:hAnsi="SPARCSans-Light"/>
      <w:color w:val="5085BF"/>
      <w:sz w:val="28"/>
      <w:lang w:val="en-GB"/>
    </w:rPr>
  </w:style>
  <w:style w:type="paragraph" w:styleId="Heading3">
    <w:name w:val="heading 3"/>
    <w:basedOn w:val="BodyText"/>
    <w:qFormat/>
    <w:pPr>
      <w:widowControl w:val="0"/>
      <w:tabs>
        <w:tab w:val="left" w:pos="567"/>
        <w:tab w:val="left" w:pos="1134"/>
        <w:tab w:val="left" w:pos="1701"/>
      </w:tabs>
      <w:suppressAutoHyphens/>
      <w:autoSpaceDE w:val="0"/>
      <w:autoSpaceDN w:val="0"/>
      <w:adjustRightInd w:val="0"/>
      <w:spacing w:before="120" w:after="80" w:line="260" w:lineRule="atLeast"/>
      <w:textAlignment w:val="center"/>
      <w:outlineLvl w:val="2"/>
    </w:pPr>
    <w:rPr>
      <w:rFonts w:ascii="SPARCSans-Light" w:eastAsia="Times New Roman" w:hAnsi="SPARCSans-Light"/>
      <w:b/>
      <w:color w:val="EF8100"/>
      <w:sz w:val="22"/>
      <w:lang w:val="en-GB"/>
    </w:rPr>
  </w:style>
  <w:style w:type="paragraph" w:styleId="Heading4">
    <w:name w:val="heading 4"/>
    <w:basedOn w:val="Noparagraphstyle"/>
    <w:qFormat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</w:tabs>
      <w:suppressAutoHyphens/>
      <w:spacing w:before="60" w:after="20" w:line="200" w:lineRule="atLeast"/>
      <w:outlineLvl w:val="3"/>
    </w:pPr>
    <w:rPr>
      <w:rFonts w:ascii="SPARCSans-Roman" w:hAnsi="SPARCSans-Roman"/>
      <w:caps/>
      <w:sz w:val="17"/>
    </w:rPr>
  </w:style>
  <w:style w:type="paragraph" w:styleId="Heading5">
    <w:name w:val="heading 5"/>
    <w:basedOn w:val="Noparagraphstyle"/>
    <w:qFormat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</w:tabs>
      <w:suppressAutoHyphens/>
      <w:spacing w:before="60" w:line="220" w:lineRule="atLeast"/>
      <w:outlineLvl w:val="4"/>
    </w:pPr>
    <w:rPr>
      <w:rFonts w:ascii="SPARCSans-BoldItalic" w:hAnsi="SPARCSans-BoldItalic"/>
      <w:b/>
      <w:i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en-US"/>
    </w:rPr>
  </w:style>
  <w:style w:type="paragraph" w:customStyle="1" w:styleId="TableNotes">
    <w:name w:val="Table Notes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80" w:line="200" w:lineRule="atLeast"/>
      <w:textAlignment w:val="center"/>
    </w:pPr>
    <w:rPr>
      <w:rFonts w:ascii="SPARCSans-Light" w:eastAsia="Times New Roman" w:hAnsi="SPARCSans-Light"/>
      <w:i/>
      <w:color w:val="000000"/>
      <w:sz w:val="16"/>
      <w:lang w:val="en-GB"/>
    </w:rPr>
  </w:style>
  <w:style w:type="paragraph" w:customStyle="1" w:styleId="TableHeading2">
    <w:name w:val="Table Heading 2"/>
    <w:basedOn w:val="Noparagraphstyle"/>
    <w:pPr>
      <w:tabs>
        <w:tab w:val="left" w:pos="360"/>
      </w:tabs>
      <w:suppressAutoHyphens/>
      <w:spacing w:after="227" w:line="190" w:lineRule="atLeast"/>
    </w:pPr>
    <w:rPr>
      <w:rFonts w:ascii="SPARCSans-Roman" w:hAnsi="SPARCSans-Roman"/>
      <w:color w:val="FFFFFF"/>
      <w:sz w:val="16"/>
    </w:rPr>
  </w:style>
  <w:style w:type="paragraph" w:customStyle="1" w:styleId="TableBodyText">
    <w:name w:val="Table Body Text"/>
    <w:basedOn w:val="BodyText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42" w:line="190" w:lineRule="atLeast"/>
      <w:textAlignment w:val="center"/>
    </w:pPr>
    <w:rPr>
      <w:rFonts w:ascii="SPARCSans-Light" w:eastAsia="Times New Roman" w:hAnsi="SPARCSans-Light"/>
      <w:color w:val="000000"/>
      <w:sz w:val="16"/>
      <w:lang w:val="en-GB"/>
    </w:rPr>
  </w:style>
  <w:style w:type="paragraph" w:styleId="BalloonText">
    <w:name w:val="Balloon Text"/>
    <w:basedOn w:val="Normal"/>
    <w:link w:val="BalloonTextChar"/>
    <w:rsid w:val="0088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3</cp:revision>
  <cp:lastPrinted>2015-04-29T00:03:00Z</cp:lastPrinted>
  <dcterms:created xsi:type="dcterms:W3CDTF">2015-04-22T03:02:00Z</dcterms:created>
  <dcterms:modified xsi:type="dcterms:W3CDTF">2015-04-29T00:03:00Z</dcterms:modified>
</cp:coreProperties>
</file>